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93ddd43241edb5d4617ce538f230356c82ae55"/>
    <w:p>
      <w:pPr>
        <w:pStyle w:val="Heading3"/>
      </w:pPr>
      <w:r>
        <w:t xml:space="preserve">Декларационная кампания для продавцов алкогольной продукции пройдет с 1 по 20 июля</w:t>
      </w:r>
    </w:p>
    <w:p>
      <w:pPr>
        <w:pStyle w:val="FirstParagraph"/>
      </w:pPr>
      <w:r>
        <w:t xml:space="preserve">13.07.2016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Декларации об объеме розничной продажи алкогольной и спиртосодержащей продукции по форме 11 и 12 за 2 квартал 2016 года необходимо подать до 20 июля 2016 года.</w:t>
      </w:r>
    </w:p>
    <w:p>
      <w:pPr>
        <w:pStyle w:val="BodyText"/>
      </w:pPr>
      <w:r>
        <w:t xml:space="preserve">Организации, осуществляющие розничную продажу алкогольной и спиртосодержащей непищевой продукции, пива и пивных напитков сидра, пуаре, медовухи и зарегистрированные на территории города Москвы представляют декларации по форме 11 и 12 исключительно в форме электронного документа,</w:t>
      </w:r>
      <w:r>
        <w:t xml:space="preserve"> </w:t>
      </w:r>
      <w:r>
        <w:rPr>
          <w:u w:val="single"/>
        </w:rPr>
        <w:t xml:space="preserve">на региональную площадку города Москвы</w:t>
      </w:r>
      <w:r>
        <w:t xml:space="preserve"> </w:t>
      </w:r>
      <w: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</w:rPr>
          <w:t xml:space="preserve">https://service.fsrar.ru/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Обращаем внимание, что представление деклараций является прямой обязанностью юридического лица, имеющего действующую лицензию на розничную продажу алкогольной продукции,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 Для производителей других государств — членов Таможенного союза, указывается регистрационные (идентификационные, учетные) номера налогоплательщиков.</w:t>
      </w:r>
    </w:p>
    <w:p>
      <w:pPr>
        <w:pStyle w:val="BodyText"/>
      </w:pPr>
      <w:r>
        <w:t xml:space="preserve"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продукции, в декларациях указываются нулевые показатели.</w:t>
      </w:r>
    </w:p>
    <w:p>
      <w:pPr>
        <w:pStyle w:val="BodyText"/>
      </w:pPr>
      <w:r>
        <w:t xml:space="preserve">В связи с отсутствием автоматической возможности гарантированно определять место регистрации, организациям и индивидуальным предпринимателям предоставлена возможность самостоятельно определять регион принадлежности, 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За нарушение требований законодательства в части непредставления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п.3 ст. 20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п.9 статьи 19 171 Федерального закона, п.2.21.2. Административного регламента, утвержденного постановлением Правительства Москвы от 21.02.2012 №59-ПП, является, в том числе несоответствие заявителя иным лицензионным требованиям, а именно искажение и (или) непредставление в установленные сроки деклараций.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http://marfino.mos.ru/presscenter/news/detail/3338716.html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3338716.html" TargetMode="External" /><Relationship Type="http://schemas.openxmlformats.org/officeDocument/2006/relationships/hyperlink" Id="rId20" Target="https://clck.yandex.ru/redir/dv/*data=url%3Dhttps%253A%252F%252Fservice.fsrar.ru%252F%26ts%3D1468427329%26uid%3D352196301430480889&amp;sign=d2c963e4a7960a4b5ae7c76432f502d9&amp;keyno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3338716.html" TargetMode="External" /><Relationship Type="http://schemas.openxmlformats.org/officeDocument/2006/relationships/hyperlink" Id="rId20" Target="https://clck.yandex.ru/redir/dv/*data=url%3Dhttps%253A%252F%252Fservice.fsrar.ru%252F%26ts%3D1468427329%26uid%3D352196301430480889&amp;sign=d2c963e4a7960a4b5ae7c76432f502d9&amp;keyno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2025-08-05T21:29:47Z</dcterms:created>
  <dcterms:modified xsi:type="dcterms:W3CDTF">2025-08-05T21:29:47Z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