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4100eea9314aeb3286e07c92d700c286d72da"/>
    <w:p>
      <w:pPr>
        <w:pStyle w:val="Heading3"/>
      </w:pPr>
      <w:r>
        <w:t xml:space="preserve">Все московские врачи пройдут курс по психоонкологии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Все столичные врачи будут должны пройти курс по психоонкологии, разработанный специально Депздравом. Об этом в понедельник, 23 ноября, сообщил руководитель столичного департамента здравоохранения Алексей Хрипун. «Психоонкология - это новое и чрезвычайно востребованное направление. Мы будем учить специалистов принципам общения с онкобольными, поскольку это особая категория больных, общение с которыми требует особых знаний и навыков», - отметил он. По словам Хрипуна, в настоящее время в московском регистре онкобольных 237 тысяч человек, которым необходима квалифицированная медицинская помощь и правильный психологический подход. Авторы курса психоонкологии подчеркивают, что сертификат невозможно будет получить без присутствия на всех видах занятий.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главный онколог Департамента здравоохранения Москвы Игорь Хотьков отметил, что у столичных врачей есть возможности справиться с раком и в терминальной стадии. «У нас в Москве сейчас огромные диагностические возможности, которые не уступают возможностям зарубежных стран. Но, к сожалению, процент диагностики рака на первой-второй стадиях на сегодняшний день составляет порядка 53-54%, и за последние 10 лет он существенно не изменился», - заявил Хотьков.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Психоонкология - область междисциплинарных исследований и клинической практики на стыке психологии, онкологии и социологии, возникшая и развивающаяся как подраздел онкологии. Область интереса психоонкологии выходит за рамки лечения рака и включает образ жизни больного, психологические и социальные аспекты онкологических заболеваний. Психоонкология изучает как влияние онкозаболевания на психологическое здоровье пациента, так и влияние психологических и социальных факторов, включая социальные взаимодействия пациента с медицинским персоналом и семейным окружением, на канцерогенез и течение онкологического процесса. Кроме того, она рассматривает когнитивные нарушения, возникающие вследствие химиотерапии и лучевой терапии, а также эффекты плацебо и ноцебо.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http://marfino.mos.ru/presscenter/news/detail/2320099.html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20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20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2024-10-13T12:52:24Z</dcterms:created>
  <dcterms:modified xsi:type="dcterms:W3CDTF">2024-10-13T12:52:24Z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