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8b844d9a0901cbbd94bf4b943365b6a4dc473"/>
    <w:p>
      <w:pPr>
        <w:pStyle w:val="Heading3"/>
      </w:pPr>
      <w:r>
        <w:t xml:space="preserve">Жителям столицы напомнили о сроках уплаты налогов</w:t>
      </w:r>
    </w:p>
    <w:p>
      <w:pPr>
        <w:pStyle w:val="FirstParagraph"/>
      </w:pPr>
      <w:r>
        <w:t xml:space="preserve">26.06.2015</w:t>
      </w:r>
    </w:p>
    <w:p>
      <w:pPr>
        <w:pStyle w:val="BodyText"/>
      </w:pPr>
      <w:r>
        <w:t xml:space="preserve">Окружная налоговая инспекция напоминает, что в 2015 году установлен единый срок уплаты имущественных налогов для жителей столицы.</w:t>
      </w:r>
    </w:p>
    <w:p>
      <w:pPr>
        <w:pStyle w:val="BodyText"/>
      </w:pPr>
      <w:r>
        <w:t xml:space="preserve">Физическим лицам – собственникам квартир, жилых домов, земельных участков, автомобилей – необходимо заплатить налог на имущество, транспортный и земельный налоги в срок до 1 октября текущего года.</w:t>
      </w:r>
    </w:p>
    <w:p>
      <w:pPr>
        <w:pStyle w:val="BodyText"/>
      </w:pPr>
      <w:r>
        <w:t xml:space="preserve">Уведомления на уплату налогов рассылаются по почте; также их можно оперативно распечатать, зайдя в личный кабинет налогоплательщика на сайте Федеральной налоговой службы РФ.</w:t>
      </w:r>
    </w:p>
    <w:p>
      <w:pPr>
        <w:pStyle w:val="BodyText"/>
      </w:pPr>
      <w:r>
        <w:t xml:space="preserve">Дополнительную информацию можно получить в налоговых инспекциях города.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http://marfino.mos.ru/presscenter/news/detail/1963862.html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9638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19638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2025-04-14T23:52:36Z</dcterms:created>
  <dcterms:modified xsi:type="dcterms:W3CDTF">2025-04-14T23:52:36Z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