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b24faf765d19e8149d80814546b8fe7884632"/>
    <w:p>
      <w:pPr>
        <w:pStyle w:val="Heading3"/>
      </w:pPr>
      <w:r>
        <w:t xml:space="preserve">Покрытие на детской площадке восстановлено</w:t>
      </w:r>
    </w:p>
    <w:p>
      <w:pPr>
        <w:pStyle w:val="FirstParagraph"/>
      </w:pPr>
      <w:r>
        <w:t xml:space="preserve">29.07.2014</w:t>
      </w:r>
    </w:p>
    <w:p>
      <w:pPr>
        <w:pStyle w:val="BodyText"/>
      </w:pPr>
      <w:r>
        <w:t xml:space="preserve">Жители, проживающие по адресу: ул. Большая Марфинская, д. 1, кор. 4 обратились с просьбой восстановить покрытие на детской площадке.</w:t>
      </w:r>
      <w:r>
        <w:br/>
      </w:r>
      <w:r>
        <w:br/>
      </w:r>
      <w:r>
        <w:t xml:space="preserve">28.07.2014 покрытие восстановлено.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upload/medialibrary/21e/img_0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http://marfino.mos.ru/presscenter/news/detail/1176440.html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Марфино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1176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1176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2025-04-14T23:51:30Z</dcterms:created>
  <dcterms:modified xsi:type="dcterms:W3CDTF">2025-04-14T23:51:30Z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