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ac60cd6e51cf85494dc2467d2d001706e02e3"/>
    <w:p>
      <w:pPr>
        <w:pStyle w:val="Heading3"/>
      </w:pPr>
      <w:r>
        <w:t xml:space="preserve">О создании комиссии по соблюдению требований к служебному поведению государственных гражданских служащих управы района Марфино и урегулированию конфликта интресов</w:t>
      </w:r>
    </w:p>
    <w:p>
      <w:pPr>
        <w:pStyle w:val="FirstParagraph"/>
      </w:pPr>
      <w:r>
        <w:t xml:space="preserve">25.05.2016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от 15.12.2015 № 97 о создании комиссии по соблюдению требований к служебному поведению государственных гражданских служащих управы района Марфино и урегулированию конфликта интресов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http://marfino.mos.ru/on-combating-corruption/the-commission-for-observance-of-requirements-for-the-official-behaviour-of-state-civil-employees-of/detail/3011679.html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9ca/konfliktnaya-komissiya.pdf" TargetMode="Externa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on-combating-corruption/the-commission-for-observance-of-requirements-for-the-official-behaviour-of-state-civil-employees-of/detail/3011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9ca/konfliktnaya-komissiya.pdf" TargetMode="Externa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on-combating-corruption/the-commission-for-observance-of-requirements-for-the-official-behaviour-of-state-civil-employees-of/detail/3011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2025-06-06T12:27:36Z</dcterms:created>
  <dcterms:modified xsi:type="dcterms:W3CDTF">2025-06-06T12:27:36Z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