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65544de0e515cad5625f456571177ac4a0eac6"/>
    <w:p>
      <w:pPr>
        <w:pStyle w:val="Heading3"/>
      </w:pPr>
      <w:r>
        <w:t xml:space="preserve">Положение о комиссии по соблюдению требований к служебному поведению государственных гражданских служащих управы района Марфино и урегулированию конфликта интересов и ее состав</w:t>
      </w:r>
    </w:p>
    <w:p>
      <w:pPr>
        <w:pStyle w:val="FirstParagraph"/>
      </w:pPr>
      <w:r>
        <w:t xml:space="preserve">07.07.2014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http://marfino.mos.ru/on-combating-corruption/the-commission-for-observance-of-requirements-for-the-official-behaviour-of-state-civil-employees-of/detail/1119525.html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Марфино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on-combating-corruption/the-commission-for-observance-of-requirements-for-the-official-behaviour-of-state-civil-employees-of/detail/11195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on-combating-corruption/the-commission-for-observance-of-requirements-for-the-official-behaviour-of-state-civil-employees-of/detail/11195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2025-08-03T21:45:30Z</dcterms:created>
  <dcterms:modified xsi:type="dcterms:W3CDTF">2025-08-03T21:45:30Z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