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4a5fb584c0ba47c201e25b0cc4a087b8c420"/>
    <w:p>
      <w:pPr>
        <w:pStyle w:val="Heading3"/>
      </w:pPr>
      <w:r>
        <w:t xml:space="preserve">Порядок подачи заявлений для рассмотрения на комиссии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t xml:space="preserve">Обращения (заявления) граждан и государственных гражданских служащих, предусмотренные подпунктом 13.2 Положения о Комиссии по соблюдению требований к служебному поведению государственных гражданских служащих управы района Марфино и урегулированию конфликта интересов от 07.07.2014 № 93, представляются в кадровую службу управы района Марфино города Москвы письменно по формам, размещенным в подразделе </w:t>
      </w:r>
      <w:hyperlink r:id="rId20">
        <w:r>
          <w:rPr>
            <w:rStyle w:val="Hyperlink"/>
          </w:rPr>
          <w:t xml:space="preserve">Формы документов, связанных с противодействием коррупции, для заполнения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http://marfino.mos.ru/on-combating-corruption/the-commission-for-observance-of-requirements-for-the-official-behaviour-of-state-civil-employees-of/detail/1119519.html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on-combating-corruption/forms-of-documents-related-to-anti-corruption-for-filling/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1119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on-combating-corruption/forms-of-documents-related-to-anti-corruption-for-filling/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1119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2025-04-14T23:48:02Z</dcterms:created>
  <dcterms:modified xsi:type="dcterms:W3CDTF">2025-04-14T23:48:02Z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