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c600280944177611e8f716290c681112fa4a6"/>
    <w:p>
      <w:pPr>
        <w:pStyle w:val="Heading3"/>
      </w:pPr>
      <w:r>
        <w:t xml:space="preserve">Обзор практики правоприменения в сфере конфликта интересов №2</w:t>
      </w:r>
    </w:p>
    <w:p>
      <w:pPr>
        <w:pStyle w:val="FirstParagraph"/>
      </w:pPr>
      <w:r>
        <w:t xml:space="preserve">23.06.2020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http://marfino.mos.ru/on-combating-corruption/plans-presentations-reports-surveys-statistical-information-on-the-issues-of-countering-corruption/detail/8984090.html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on-combating-corruption/plans-presentations-reports-surveys-statistical-information-on-the-issues-of-countering-corruption/detail/89840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on-combating-corruption/plans-presentations-reports-surveys-statistical-information-on-the-issues-of-countering-corruption/detail/89840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2025-04-14T23:48:09Z</dcterms:created>
  <dcterms:modified xsi:type="dcterms:W3CDTF">2025-04-14T23:48:09Z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