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2e00fd38c059202ef20893bd904809bce7e26"/>
    <w:p>
      <w:pPr>
        <w:pStyle w:val="Heading3"/>
      </w:pPr>
      <w:r>
        <w:t xml:space="preserve">Методические рекомендации, обзоры, разъяснения и иные документы, подготовленные Минтрудом России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r>
        <w:t xml:space="preserve">Методические рекомендации, обзоры, разъяснения и иные документы, подготовленные Минтрудом России расположены на сайте </w:t>
      </w:r>
      <w:hyperlink r:id="rId20">
        <w:r>
          <w:rPr>
            <w:rStyle w:val="Hyperlink"/>
          </w:rPr>
          <w:t xml:space="preserve">rosmintrud.ru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http://marfino.mos.ru/on-combating-corruption/methodical-materials/detail/1119511.html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methodical-materials/detail/1119511.html" TargetMode="External" /><Relationship Type="http://schemas.openxmlformats.org/officeDocument/2006/relationships/hyperlink" Id="rId20" Target="http://www.rosmintrud.ru/ministry/%20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on-combating-corruption/methodical-materials/detail/1119511.html" TargetMode="External" /><Relationship Type="http://schemas.openxmlformats.org/officeDocument/2006/relationships/hyperlink" Id="rId20" Target="http://www.rosmintrud.ru/ministry/%20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2025-05-29T14:33:06Z</dcterms:created>
  <dcterms:modified xsi:type="dcterms:W3CDTF">2025-05-29T14:33:06Z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